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EDD3" w14:textId="17686805" w:rsidR="00A7784F" w:rsidRPr="006D41E9" w:rsidRDefault="005145D7" w:rsidP="00CF20C6">
      <w:pPr>
        <w:rPr>
          <w:rFonts w:hint="eastAsia"/>
          <w:sz w:val="22"/>
          <w:szCs w:val="22"/>
        </w:rPr>
      </w:pPr>
      <w:r w:rsidRPr="006D41E9">
        <w:rPr>
          <w:color w:val="11123F"/>
          <w:sz w:val="22"/>
          <w:szCs w:val="22"/>
        </w:rPr>
        <w:t>Politsei- ja Piirivalveamet</w:t>
      </w:r>
    </w:p>
    <w:p w14:paraId="558E6B0D" w14:textId="77777777" w:rsidR="00A7784F" w:rsidRPr="006D41E9" w:rsidRDefault="005145D7">
      <w:pPr>
        <w:rPr>
          <w:rFonts w:hint="eastAsia"/>
          <w:sz w:val="22"/>
          <w:szCs w:val="22"/>
        </w:rPr>
      </w:pPr>
      <w:r w:rsidRPr="006D41E9">
        <w:rPr>
          <w:color w:val="11123F"/>
          <w:sz w:val="22"/>
          <w:szCs w:val="22"/>
        </w:rPr>
        <w:t>Pärnu mnt 139, 15060 Tallinn</w:t>
      </w:r>
    </w:p>
    <w:p w14:paraId="53ADC2CA" w14:textId="77777777" w:rsidR="00A7784F" w:rsidRPr="006D41E9" w:rsidRDefault="005145D7">
      <w:pPr>
        <w:rPr>
          <w:rFonts w:hint="eastAsia"/>
          <w:sz w:val="22"/>
          <w:szCs w:val="22"/>
        </w:rPr>
      </w:pPr>
      <w:r w:rsidRPr="006D41E9">
        <w:rPr>
          <w:rStyle w:val="InternetLink"/>
          <w:color w:val="11123F"/>
          <w:sz w:val="22"/>
          <w:szCs w:val="22"/>
        </w:rPr>
        <w:t>ppa@politsei.ee</w:t>
      </w:r>
    </w:p>
    <w:p w14:paraId="4C169CE5" w14:textId="77777777" w:rsidR="00A7784F" w:rsidRPr="006D41E9" w:rsidRDefault="00A7784F">
      <w:pPr>
        <w:rPr>
          <w:rFonts w:hint="eastAsia"/>
          <w:color w:val="11123F"/>
          <w:sz w:val="22"/>
          <w:szCs w:val="22"/>
        </w:rPr>
      </w:pPr>
    </w:p>
    <w:p w14:paraId="4CB33445" w14:textId="77777777" w:rsidR="00A7784F" w:rsidRPr="006D41E9" w:rsidRDefault="00A7784F">
      <w:pPr>
        <w:rPr>
          <w:rFonts w:hint="eastAsia"/>
          <w:b/>
          <w:bCs/>
          <w:color w:val="11123F"/>
          <w:sz w:val="22"/>
          <w:szCs w:val="22"/>
        </w:rPr>
      </w:pPr>
    </w:p>
    <w:p w14:paraId="11E91BA7" w14:textId="5C00E6B6" w:rsidR="00A7784F" w:rsidRPr="006D41E9" w:rsidRDefault="005145D7">
      <w:pPr>
        <w:rPr>
          <w:rFonts w:hint="eastAsia"/>
          <w:b/>
          <w:bCs/>
          <w:color w:val="11123F"/>
          <w:sz w:val="22"/>
          <w:szCs w:val="22"/>
        </w:rPr>
      </w:pPr>
      <w:r w:rsidRPr="006D41E9">
        <w:rPr>
          <w:b/>
          <w:bCs/>
          <w:color w:val="11123F"/>
          <w:sz w:val="22"/>
          <w:szCs w:val="22"/>
        </w:rPr>
        <w:t>T</w:t>
      </w:r>
      <w:r w:rsidR="00536577" w:rsidRPr="006D41E9">
        <w:rPr>
          <w:b/>
          <w:bCs/>
          <w:color w:val="11123F"/>
          <w:sz w:val="22"/>
          <w:szCs w:val="22"/>
        </w:rPr>
        <w:t xml:space="preserve">aotlus </w:t>
      </w:r>
      <w:r w:rsidR="00C531DD">
        <w:rPr>
          <w:b/>
          <w:bCs/>
          <w:color w:val="11123F"/>
          <w:sz w:val="22"/>
          <w:szCs w:val="22"/>
        </w:rPr>
        <w:t>mootorkelgu</w:t>
      </w:r>
      <w:r w:rsidR="00611717">
        <w:rPr>
          <w:b/>
          <w:bCs/>
          <w:color w:val="11123F"/>
          <w:sz w:val="22"/>
          <w:szCs w:val="22"/>
        </w:rPr>
        <w:t xml:space="preserve"> ostmiseks</w:t>
      </w:r>
      <w:r w:rsidR="00157354">
        <w:rPr>
          <w:b/>
          <w:bCs/>
          <w:color w:val="11123F"/>
          <w:sz w:val="22"/>
          <w:szCs w:val="22"/>
        </w:rPr>
        <w:t xml:space="preserve"> ning talvise võimekuse tekitamiseks</w:t>
      </w:r>
    </w:p>
    <w:p w14:paraId="674A0660" w14:textId="77777777" w:rsidR="004F58D9" w:rsidRPr="006D41E9" w:rsidRDefault="004F58D9">
      <w:pPr>
        <w:rPr>
          <w:rFonts w:hint="eastAsia"/>
          <w:sz w:val="22"/>
          <w:szCs w:val="22"/>
        </w:rPr>
      </w:pPr>
    </w:p>
    <w:p w14:paraId="36D68E51" w14:textId="44E2D287" w:rsidR="00A7784F" w:rsidRPr="006D41E9" w:rsidRDefault="00A25B62">
      <w:pPr>
        <w:jc w:val="right"/>
        <w:rPr>
          <w:rFonts w:hint="eastAsia"/>
          <w:sz w:val="22"/>
          <w:szCs w:val="22"/>
        </w:rPr>
      </w:pPr>
      <w:r w:rsidRPr="006D41E9">
        <w:rPr>
          <w:color w:val="11123F"/>
          <w:sz w:val="22"/>
          <w:szCs w:val="22"/>
        </w:rPr>
        <w:t>13</w:t>
      </w:r>
      <w:r w:rsidR="005145D7" w:rsidRPr="006D41E9">
        <w:rPr>
          <w:color w:val="11123F"/>
          <w:sz w:val="22"/>
          <w:szCs w:val="22"/>
        </w:rPr>
        <w:t xml:space="preserve">. </w:t>
      </w:r>
      <w:r w:rsidRPr="006D41E9">
        <w:rPr>
          <w:color w:val="11123F"/>
          <w:sz w:val="22"/>
          <w:szCs w:val="22"/>
        </w:rPr>
        <w:t>september</w:t>
      </w:r>
      <w:r w:rsidR="005145D7" w:rsidRPr="006D41E9">
        <w:rPr>
          <w:color w:val="11123F"/>
          <w:sz w:val="22"/>
          <w:szCs w:val="22"/>
        </w:rPr>
        <w:t xml:space="preserve"> 202</w:t>
      </w:r>
      <w:r w:rsidRPr="006D41E9">
        <w:rPr>
          <w:color w:val="11123F"/>
          <w:sz w:val="22"/>
          <w:szCs w:val="22"/>
        </w:rPr>
        <w:t>3</w:t>
      </w:r>
    </w:p>
    <w:p w14:paraId="601E7930" w14:textId="77777777" w:rsidR="00A7784F" w:rsidRPr="006D41E9" w:rsidRDefault="00A7784F">
      <w:pPr>
        <w:jc w:val="right"/>
        <w:rPr>
          <w:rFonts w:hint="eastAsia"/>
          <w:b/>
          <w:bCs/>
          <w:color w:val="11123F"/>
          <w:sz w:val="22"/>
          <w:szCs w:val="22"/>
        </w:rPr>
      </w:pPr>
    </w:p>
    <w:p w14:paraId="0C1C1662" w14:textId="5B392B71" w:rsidR="00A7784F" w:rsidRPr="006D41E9" w:rsidRDefault="005145D7">
      <w:pPr>
        <w:rPr>
          <w:rFonts w:hint="eastAsia"/>
          <w:sz w:val="22"/>
          <w:szCs w:val="22"/>
        </w:rPr>
      </w:pPr>
      <w:r w:rsidRPr="006D41E9">
        <w:rPr>
          <w:color w:val="11123F"/>
          <w:sz w:val="22"/>
          <w:szCs w:val="22"/>
        </w:rPr>
        <w:t xml:space="preserve">Lp. </w:t>
      </w:r>
      <w:proofErr w:type="spellStart"/>
      <w:r w:rsidRPr="006D41E9">
        <w:rPr>
          <w:color w:val="11123F"/>
          <w:sz w:val="22"/>
          <w:szCs w:val="22"/>
        </w:rPr>
        <w:t>E</w:t>
      </w:r>
      <w:r w:rsidR="00FC5302" w:rsidRPr="006D41E9">
        <w:rPr>
          <w:color w:val="11123F"/>
          <w:sz w:val="22"/>
          <w:szCs w:val="22"/>
        </w:rPr>
        <w:t>gert</w:t>
      </w:r>
      <w:proofErr w:type="spellEnd"/>
      <w:r w:rsidR="00FC5302" w:rsidRPr="006D41E9">
        <w:rPr>
          <w:color w:val="11123F"/>
          <w:sz w:val="22"/>
          <w:szCs w:val="22"/>
        </w:rPr>
        <w:t xml:space="preserve"> </w:t>
      </w:r>
      <w:proofErr w:type="spellStart"/>
      <w:r w:rsidR="00FC5302" w:rsidRPr="006D41E9">
        <w:rPr>
          <w:color w:val="11123F"/>
          <w:sz w:val="22"/>
          <w:szCs w:val="22"/>
        </w:rPr>
        <w:t>Belitšev</w:t>
      </w:r>
      <w:proofErr w:type="spellEnd"/>
      <w:r w:rsidRPr="006D41E9">
        <w:rPr>
          <w:color w:val="11123F"/>
          <w:sz w:val="22"/>
          <w:szCs w:val="22"/>
        </w:rPr>
        <w:t>!</w:t>
      </w:r>
    </w:p>
    <w:p w14:paraId="2C936F51" w14:textId="77777777" w:rsidR="00A7784F" w:rsidRPr="006D41E9" w:rsidRDefault="00A7784F">
      <w:pPr>
        <w:jc w:val="both"/>
        <w:rPr>
          <w:rFonts w:hint="eastAsia"/>
          <w:color w:val="11123F"/>
          <w:sz w:val="22"/>
          <w:szCs w:val="22"/>
        </w:rPr>
      </w:pPr>
    </w:p>
    <w:p w14:paraId="4EDEA2BE" w14:textId="588AD27F" w:rsidR="007B25B0" w:rsidRPr="006D41E9" w:rsidRDefault="00B20F5B">
      <w:pPr>
        <w:jc w:val="both"/>
        <w:rPr>
          <w:rFonts w:hint="eastAsia"/>
          <w:sz w:val="22"/>
          <w:szCs w:val="22"/>
        </w:rPr>
      </w:pPr>
      <w:r w:rsidRPr="006D41E9">
        <w:rPr>
          <w:sz w:val="22"/>
          <w:szCs w:val="22"/>
        </w:rPr>
        <w:t xml:space="preserve">Käesolevaga taotleb MTÜ Toila Merepääste toetust </w:t>
      </w:r>
      <w:r w:rsidR="00C531DD">
        <w:rPr>
          <w:sz w:val="22"/>
          <w:szCs w:val="22"/>
        </w:rPr>
        <w:t>mootorkelgu</w:t>
      </w:r>
      <w:r w:rsidR="00157354">
        <w:rPr>
          <w:sz w:val="22"/>
          <w:szCs w:val="22"/>
        </w:rPr>
        <w:t xml:space="preserve"> ostmiseks ning sellega talvise võimekuse tekitamiseks</w:t>
      </w:r>
      <w:r w:rsidR="00165A9C">
        <w:rPr>
          <w:sz w:val="22"/>
          <w:szCs w:val="22"/>
        </w:rPr>
        <w:t>,</w:t>
      </w:r>
      <w:r w:rsidR="00385590" w:rsidRPr="006D41E9">
        <w:rPr>
          <w:sz w:val="22"/>
          <w:szCs w:val="22"/>
        </w:rPr>
        <w:t xml:space="preserve"> </w:t>
      </w:r>
      <w:r w:rsidRPr="006D41E9">
        <w:rPr>
          <w:sz w:val="22"/>
          <w:szCs w:val="22"/>
        </w:rPr>
        <w:t xml:space="preserve">tulenevalt PPA peadirektor </w:t>
      </w:r>
      <w:proofErr w:type="spellStart"/>
      <w:r w:rsidR="00385590" w:rsidRPr="006D41E9">
        <w:rPr>
          <w:sz w:val="22"/>
          <w:szCs w:val="22"/>
        </w:rPr>
        <w:t>Egert</w:t>
      </w:r>
      <w:proofErr w:type="spellEnd"/>
      <w:r w:rsidR="00385590" w:rsidRPr="006D41E9">
        <w:rPr>
          <w:sz w:val="22"/>
          <w:szCs w:val="22"/>
        </w:rPr>
        <w:t xml:space="preserve"> </w:t>
      </w:r>
      <w:proofErr w:type="spellStart"/>
      <w:r w:rsidR="00A16458" w:rsidRPr="006D41E9">
        <w:rPr>
          <w:sz w:val="22"/>
          <w:szCs w:val="22"/>
        </w:rPr>
        <w:t>Belitšev</w:t>
      </w:r>
      <w:proofErr w:type="spellEnd"/>
      <w:r w:rsidR="00A16458" w:rsidRPr="006D41E9">
        <w:rPr>
          <w:sz w:val="22"/>
          <w:szCs w:val="22"/>
        </w:rPr>
        <w:t xml:space="preserve"> p</w:t>
      </w:r>
      <w:r w:rsidRPr="006D41E9">
        <w:rPr>
          <w:sz w:val="22"/>
          <w:szCs w:val="22"/>
        </w:rPr>
        <w:t xml:space="preserve">oolt </w:t>
      </w:r>
      <w:r w:rsidR="00A16458" w:rsidRPr="006D41E9">
        <w:rPr>
          <w:sz w:val="22"/>
          <w:szCs w:val="22"/>
        </w:rPr>
        <w:t xml:space="preserve">30.08.2023 nr 7-1/53-1 </w:t>
      </w:r>
      <w:r w:rsidRPr="006D41E9">
        <w:rPr>
          <w:sz w:val="22"/>
          <w:szCs w:val="22"/>
        </w:rPr>
        <w:t xml:space="preserve">väljakuulutatud taotlusvoorust. </w:t>
      </w:r>
    </w:p>
    <w:p w14:paraId="45337F64" w14:textId="75DC2A91" w:rsidR="007B25B0" w:rsidRPr="006D41E9" w:rsidRDefault="007B25B0">
      <w:pPr>
        <w:jc w:val="both"/>
        <w:rPr>
          <w:rFonts w:hint="eastAsia"/>
          <w:sz w:val="22"/>
          <w:szCs w:val="22"/>
        </w:rPr>
      </w:pPr>
    </w:p>
    <w:p w14:paraId="2244A7D2" w14:textId="3EE6F111" w:rsidR="00690E33" w:rsidRPr="006D41E9" w:rsidRDefault="00690E33">
      <w:pPr>
        <w:jc w:val="both"/>
        <w:rPr>
          <w:rFonts w:hint="eastAsia"/>
          <w:b/>
          <w:bCs/>
          <w:sz w:val="22"/>
          <w:szCs w:val="22"/>
          <w:u w:val="single"/>
        </w:rPr>
      </w:pPr>
      <w:r w:rsidRPr="006D41E9">
        <w:rPr>
          <w:b/>
          <w:bCs/>
          <w:sz w:val="22"/>
          <w:szCs w:val="22"/>
          <w:u w:val="single"/>
        </w:rPr>
        <w:t xml:space="preserve">Tegevuse eesmärk ja kirjeldus </w:t>
      </w:r>
    </w:p>
    <w:p w14:paraId="3CBAE17B" w14:textId="77777777" w:rsidR="00690E33" w:rsidRPr="006D41E9" w:rsidRDefault="00690E33">
      <w:pPr>
        <w:jc w:val="both"/>
        <w:rPr>
          <w:rFonts w:hint="eastAsia"/>
          <w:sz w:val="22"/>
          <w:szCs w:val="22"/>
        </w:rPr>
      </w:pPr>
    </w:p>
    <w:p w14:paraId="3233EC23" w14:textId="1FB99948" w:rsidR="007B25B0" w:rsidRDefault="006D41E9">
      <w:pPr>
        <w:jc w:val="both"/>
        <w:rPr>
          <w:sz w:val="22"/>
          <w:szCs w:val="22"/>
        </w:rPr>
      </w:pPr>
      <w:r w:rsidRPr="006D41E9">
        <w:rPr>
          <w:sz w:val="22"/>
          <w:szCs w:val="22"/>
        </w:rPr>
        <w:t xml:space="preserve">MTÜ Toila Merepääste </w:t>
      </w:r>
      <w:r w:rsidR="005166E2">
        <w:rPr>
          <w:sz w:val="22"/>
          <w:szCs w:val="22"/>
        </w:rPr>
        <w:t xml:space="preserve">on </w:t>
      </w:r>
      <w:r w:rsidR="00A15E9B">
        <w:rPr>
          <w:sz w:val="22"/>
          <w:szCs w:val="22"/>
        </w:rPr>
        <w:t xml:space="preserve">aasta läbi </w:t>
      </w:r>
      <w:r w:rsidR="00967A90">
        <w:rPr>
          <w:sz w:val="22"/>
          <w:szCs w:val="22"/>
        </w:rPr>
        <w:t>reageerimisvalmis vähemalt ühe merepäästekaatriga</w:t>
      </w:r>
      <w:r w:rsidR="0051246A">
        <w:rPr>
          <w:sz w:val="22"/>
          <w:szCs w:val="22"/>
        </w:rPr>
        <w:t xml:space="preserve">. </w:t>
      </w:r>
      <w:r w:rsidR="004C3F92">
        <w:rPr>
          <w:sz w:val="22"/>
          <w:szCs w:val="22"/>
        </w:rPr>
        <w:t xml:space="preserve">Kui </w:t>
      </w:r>
      <w:r w:rsidR="00B17472">
        <w:rPr>
          <w:sz w:val="22"/>
          <w:szCs w:val="22"/>
        </w:rPr>
        <w:t xml:space="preserve">Toila </w:t>
      </w:r>
      <w:r w:rsidR="004C3F92">
        <w:rPr>
          <w:sz w:val="22"/>
          <w:szCs w:val="22"/>
        </w:rPr>
        <w:t>sadam jäätub ära,</w:t>
      </w:r>
      <w:r w:rsidR="0077008C">
        <w:rPr>
          <w:sz w:val="22"/>
          <w:szCs w:val="22"/>
        </w:rPr>
        <w:t xml:space="preserve"> </w:t>
      </w:r>
      <w:r w:rsidR="004C3F92">
        <w:rPr>
          <w:sz w:val="22"/>
          <w:szCs w:val="22"/>
        </w:rPr>
        <w:t>tõstame alused kalda</w:t>
      </w:r>
      <w:r w:rsidR="00B17472">
        <w:rPr>
          <w:sz w:val="22"/>
          <w:szCs w:val="22"/>
        </w:rPr>
        <w:t>le, kuid oleme siiski reageerimisvalmis</w:t>
      </w:r>
      <w:r w:rsidR="006A3919">
        <w:rPr>
          <w:sz w:val="22"/>
          <w:szCs w:val="22"/>
        </w:rPr>
        <w:t xml:space="preserve"> ning saame jäävabades oludes</w:t>
      </w:r>
      <w:r w:rsidR="006937BF">
        <w:rPr>
          <w:sz w:val="22"/>
          <w:szCs w:val="22"/>
        </w:rPr>
        <w:t xml:space="preserve"> merepäästekaatri</w:t>
      </w:r>
      <w:r w:rsidR="006A3919">
        <w:rPr>
          <w:sz w:val="22"/>
          <w:szCs w:val="22"/>
        </w:rPr>
        <w:t xml:space="preserve"> </w:t>
      </w:r>
      <w:r w:rsidR="00960AB2">
        <w:rPr>
          <w:sz w:val="22"/>
          <w:szCs w:val="22"/>
        </w:rPr>
        <w:t xml:space="preserve">uuesti </w:t>
      </w:r>
      <w:r w:rsidR="006A3919">
        <w:rPr>
          <w:sz w:val="22"/>
          <w:szCs w:val="22"/>
        </w:rPr>
        <w:t>vette lasta</w:t>
      </w:r>
      <w:r w:rsidR="00960AB2">
        <w:rPr>
          <w:sz w:val="22"/>
          <w:szCs w:val="22"/>
        </w:rPr>
        <w:t>.</w:t>
      </w:r>
      <w:r w:rsidR="00F17612">
        <w:rPr>
          <w:sz w:val="22"/>
          <w:szCs w:val="22"/>
        </w:rPr>
        <w:t xml:space="preserve"> Mere või jõe jäätudes me merepäästekaatr</w:t>
      </w:r>
      <w:r w:rsidR="000B1BCA">
        <w:rPr>
          <w:sz w:val="22"/>
          <w:szCs w:val="22"/>
        </w:rPr>
        <w:t>iga sadamast välja ei pääse. Samas asume</w:t>
      </w:r>
      <w:r w:rsidR="00AE456B">
        <w:rPr>
          <w:sz w:val="22"/>
          <w:szCs w:val="22"/>
        </w:rPr>
        <w:t xml:space="preserve"> pankrannikul, kus </w:t>
      </w:r>
      <w:r w:rsidR="00FA7F61">
        <w:rPr>
          <w:sz w:val="22"/>
          <w:szCs w:val="22"/>
        </w:rPr>
        <w:t>mööda rannajoont liigub mõlemas suunas üsna palju rahvast</w:t>
      </w:r>
      <w:r w:rsidR="0077625D">
        <w:rPr>
          <w:sz w:val="22"/>
          <w:szCs w:val="22"/>
        </w:rPr>
        <w:t xml:space="preserve"> ning kuhu pääseb tehnikaga ligi ainult merelt või mööda </w:t>
      </w:r>
      <w:r w:rsidR="00601A0C">
        <w:rPr>
          <w:sz w:val="22"/>
          <w:szCs w:val="22"/>
        </w:rPr>
        <w:t>randa</w:t>
      </w:r>
      <w:r w:rsidR="0077625D">
        <w:rPr>
          <w:sz w:val="22"/>
          <w:szCs w:val="22"/>
        </w:rPr>
        <w:t xml:space="preserve">. Talvisel ajal on rannajoon </w:t>
      </w:r>
      <w:r w:rsidR="00CE63B0">
        <w:rPr>
          <w:sz w:val="22"/>
          <w:szCs w:val="22"/>
        </w:rPr>
        <w:t>tavaliselt kaetud kas lume või jääga</w:t>
      </w:r>
      <w:r w:rsidR="00940990">
        <w:rPr>
          <w:sz w:val="22"/>
          <w:szCs w:val="22"/>
        </w:rPr>
        <w:t>.</w:t>
      </w:r>
      <w:r w:rsidR="00CE63B0">
        <w:rPr>
          <w:sz w:val="22"/>
          <w:szCs w:val="22"/>
        </w:rPr>
        <w:t xml:space="preserve"> </w:t>
      </w:r>
      <w:r w:rsidR="00C71C4D">
        <w:rPr>
          <w:sz w:val="22"/>
          <w:szCs w:val="22"/>
        </w:rPr>
        <w:t>Toila sadama külje all</w:t>
      </w:r>
      <w:r w:rsidR="00E728C6">
        <w:rPr>
          <w:sz w:val="22"/>
          <w:szCs w:val="22"/>
        </w:rPr>
        <w:t xml:space="preserve">, ca </w:t>
      </w:r>
      <w:r w:rsidR="00C90947">
        <w:rPr>
          <w:sz w:val="22"/>
          <w:szCs w:val="22"/>
        </w:rPr>
        <w:t>2 km</w:t>
      </w:r>
      <w:r w:rsidR="00E728C6">
        <w:rPr>
          <w:sz w:val="22"/>
          <w:szCs w:val="22"/>
        </w:rPr>
        <w:t xml:space="preserve"> kaugusel,</w:t>
      </w:r>
      <w:r w:rsidR="00C71C4D">
        <w:rPr>
          <w:sz w:val="22"/>
          <w:szCs w:val="22"/>
        </w:rPr>
        <w:t xml:space="preserve"> on</w:t>
      </w:r>
      <w:r w:rsidR="00E728C6">
        <w:rPr>
          <w:sz w:val="22"/>
          <w:szCs w:val="22"/>
        </w:rPr>
        <w:t xml:space="preserve"> ka</w:t>
      </w:r>
      <w:r w:rsidR="00964950">
        <w:rPr>
          <w:sz w:val="22"/>
          <w:szCs w:val="22"/>
        </w:rPr>
        <w:t xml:space="preserve"> nn vana rand, kus </w:t>
      </w:r>
      <w:r w:rsidR="003A7577">
        <w:rPr>
          <w:sz w:val="22"/>
          <w:szCs w:val="22"/>
        </w:rPr>
        <w:t xml:space="preserve">on RMK puhkeala ning kus käib üsna palju rahvast, samas ligipääs tehnikaga puudub. Käesolev aastal oli </w:t>
      </w:r>
      <w:r w:rsidR="00E60C51">
        <w:rPr>
          <w:sz w:val="22"/>
          <w:szCs w:val="22"/>
        </w:rPr>
        <w:t xml:space="preserve">ka </w:t>
      </w:r>
      <w:r w:rsidR="00911FA2">
        <w:rPr>
          <w:sz w:val="22"/>
          <w:szCs w:val="22"/>
        </w:rPr>
        <w:t xml:space="preserve">Toila Merepäästel öine väljakutse vanasse randa, kust oli vaja transportida </w:t>
      </w:r>
      <w:r w:rsidR="00676CDB">
        <w:rPr>
          <w:sz w:val="22"/>
          <w:szCs w:val="22"/>
        </w:rPr>
        <w:t xml:space="preserve">teadvusetu kannatanu </w:t>
      </w:r>
      <w:r w:rsidR="000D4628">
        <w:rPr>
          <w:sz w:val="22"/>
          <w:szCs w:val="22"/>
        </w:rPr>
        <w:t xml:space="preserve">mööda </w:t>
      </w:r>
      <w:r w:rsidR="00676CDB">
        <w:rPr>
          <w:sz w:val="22"/>
          <w:szCs w:val="22"/>
        </w:rPr>
        <w:t>merd  Toila sadamasse. Talvisel ajal meil selline võimekus puudub.</w:t>
      </w:r>
      <w:r w:rsidRPr="006D41E9">
        <w:rPr>
          <w:sz w:val="22"/>
          <w:szCs w:val="22"/>
        </w:rPr>
        <w:t xml:space="preserve"> </w:t>
      </w:r>
    </w:p>
    <w:p w14:paraId="17D6314B" w14:textId="3D7000CE" w:rsidR="00817EB1" w:rsidRPr="006D41E9" w:rsidRDefault="00F35B0A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Seetõttu soovime tekitada võimekuse </w:t>
      </w:r>
      <w:r w:rsidR="00B87B99">
        <w:rPr>
          <w:sz w:val="22"/>
          <w:szCs w:val="22"/>
        </w:rPr>
        <w:t xml:space="preserve">reageerida </w:t>
      </w:r>
      <w:r w:rsidR="0035383D">
        <w:rPr>
          <w:sz w:val="22"/>
          <w:szCs w:val="22"/>
        </w:rPr>
        <w:t xml:space="preserve">sarnastele </w:t>
      </w:r>
      <w:r w:rsidR="00587D58">
        <w:rPr>
          <w:sz w:val="22"/>
          <w:szCs w:val="22"/>
        </w:rPr>
        <w:t xml:space="preserve">väljakutsetele ka talvel, </w:t>
      </w:r>
      <w:r w:rsidR="001E4AB5">
        <w:rPr>
          <w:sz w:val="22"/>
          <w:szCs w:val="22"/>
        </w:rPr>
        <w:t xml:space="preserve">soetades </w:t>
      </w:r>
      <w:r w:rsidR="00587D58">
        <w:rPr>
          <w:sz w:val="22"/>
          <w:szCs w:val="22"/>
        </w:rPr>
        <w:t>sell</w:t>
      </w:r>
      <w:r w:rsidR="001E4AB5">
        <w:rPr>
          <w:sz w:val="22"/>
          <w:szCs w:val="22"/>
        </w:rPr>
        <w:t>isteks juhtumiteks</w:t>
      </w:r>
      <w:r w:rsidR="00587D58">
        <w:rPr>
          <w:sz w:val="22"/>
          <w:szCs w:val="22"/>
        </w:rPr>
        <w:t xml:space="preserve"> mootorkel</w:t>
      </w:r>
      <w:r w:rsidR="001E4AB5">
        <w:rPr>
          <w:sz w:val="22"/>
          <w:szCs w:val="22"/>
        </w:rPr>
        <w:t>gu</w:t>
      </w:r>
      <w:r w:rsidR="00587D58">
        <w:rPr>
          <w:sz w:val="22"/>
          <w:szCs w:val="22"/>
        </w:rPr>
        <w:t>.</w:t>
      </w:r>
      <w:r w:rsidR="00D74C56">
        <w:rPr>
          <w:sz w:val="22"/>
          <w:szCs w:val="22"/>
        </w:rPr>
        <w:t xml:space="preserve"> </w:t>
      </w:r>
      <w:r w:rsidR="00FE3B89">
        <w:rPr>
          <w:sz w:val="22"/>
          <w:szCs w:val="22"/>
        </w:rPr>
        <w:t>MTÜ on valmis võimalike merel toimuva</w:t>
      </w:r>
      <w:r w:rsidR="00B30019">
        <w:rPr>
          <w:sz w:val="22"/>
          <w:szCs w:val="22"/>
        </w:rPr>
        <w:t xml:space="preserve">te juhtumite tarbeks tagama teise mootorkelgu olemasolu. </w:t>
      </w:r>
      <w:r w:rsidR="00FE3B89">
        <w:rPr>
          <w:sz w:val="22"/>
          <w:szCs w:val="22"/>
        </w:rPr>
        <w:t xml:space="preserve"> </w:t>
      </w:r>
    </w:p>
    <w:p w14:paraId="6B8EB473" w14:textId="77777777" w:rsidR="00817EB1" w:rsidRPr="006D41E9" w:rsidRDefault="00817EB1">
      <w:pPr>
        <w:jc w:val="both"/>
        <w:rPr>
          <w:rFonts w:hint="eastAsia"/>
          <w:sz w:val="22"/>
          <w:szCs w:val="22"/>
        </w:rPr>
      </w:pPr>
    </w:p>
    <w:p w14:paraId="49C6D17E" w14:textId="77777777" w:rsidR="005758A5" w:rsidRPr="006D41E9" w:rsidRDefault="005758A5">
      <w:pPr>
        <w:jc w:val="both"/>
        <w:rPr>
          <w:rFonts w:hint="eastAsia"/>
          <w:b/>
          <w:bCs/>
          <w:sz w:val="22"/>
          <w:szCs w:val="22"/>
          <w:u w:val="single"/>
        </w:rPr>
      </w:pPr>
      <w:r w:rsidRPr="006D41E9">
        <w:rPr>
          <w:b/>
          <w:bCs/>
          <w:sz w:val="22"/>
          <w:szCs w:val="22"/>
          <w:u w:val="single"/>
        </w:rPr>
        <w:t xml:space="preserve">Taotletav summa </w:t>
      </w:r>
    </w:p>
    <w:p w14:paraId="4F3367F3" w14:textId="77777777" w:rsidR="005758A5" w:rsidRPr="006D41E9" w:rsidRDefault="005758A5">
      <w:pPr>
        <w:jc w:val="both"/>
        <w:rPr>
          <w:rFonts w:hint="eastAsia"/>
          <w:sz w:val="22"/>
          <w:szCs w:val="22"/>
        </w:rPr>
      </w:pPr>
    </w:p>
    <w:p w14:paraId="1147CEAC" w14:textId="77777777" w:rsidR="005F5C77" w:rsidRDefault="00D76695">
      <w:pPr>
        <w:jc w:val="both"/>
        <w:rPr>
          <w:sz w:val="22"/>
          <w:szCs w:val="22"/>
        </w:rPr>
      </w:pPr>
      <w:r>
        <w:rPr>
          <w:sz w:val="22"/>
          <w:szCs w:val="22"/>
        </w:rPr>
        <w:t>Konsulteeri</w:t>
      </w:r>
      <w:r w:rsidR="00664C5F">
        <w:rPr>
          <w:sz w:val="22"/>
          <w:szCs w:val="22"/>
        </w:rPr>
        <w:t>des võimalike müüjatega, leidsime</w:t>
      </w:r>
      <w:r w:rsidR="001D500B">
        <w:rPr>
          <w:sz w:val="22"/>
          <w:szCs w:val="22"/>
        </w:rPr>
        <w:t>,</w:t>
      </w:r>
      <w:r w:rsidR="00664C5F">
        <w:rPr>
          <w:sz w:val="22"/>
          <w:szCs w:val="22"/>
        </w:rPr>
        <w:t xml:space="preserve"> et meie oludesse sobib kõige paremin</w:t>
      </w:r>
      <w:r w:rsidR="001D500B">
        <w:rPr>
          <w:sz w:val="22"/>
          <w:szCs w:val="22"/>
        </w:rPr>
        <w:t>i 4-taktiline vähemalt 600 m3 matka/töökelk, millel</w:t>
      </w:r>
      <w:r w:rsidR="00164859">
        <w:rPr>
          <w:sz w:val="22"/>
          <w:szCs w:val="22"/>
        </w:rPr>
        <w:t xml:space="preserve"> on laiemad </w:t>
      </w:r>
      <w:r w:rsidR="001D500B">
        <w:rPr>
          <w:sz w:val="22"/>
          <w:szCs w:val="22"/>
        </w:rPr>
        <w:t xml:space="preserve"> </w:t>
      </w:r>
      <w:r w:rsidR="00D53200">
        <w:rPr>
          <w:sz w:val="22"/>
          <w:szCs w:val="22"/>
        </w:rPr>
        <w:t>lindid</w:t>
      </w:r>
      <w:r w:rsidR="009A07B6">
        <w:rPr>
          <w:sz w:val="22"/>
          <w:szCs w:val="22"/>
        </w:rPr>
        <w:t xml:space="preserve"> ning haagise vedamise võimekus.</w:t>
      </w:r>
    </w:p>
    <w:p w14:paraId="5325FA77" w14:textId="77777777" w:rsidR="00504496" w:rsidRDefault="00504496">
      <w:pPr>
        <w:jc w:val="both"/>
        <w:rPr>
          <w:sz w:val="22"/>
          <w:szCs w:val="22"/>
        </w:rPr>
      </w:pPr>
    </w:p>
    <w:p w14:paraId="1201A6EE" w14:textId="1C06A16A" w:rsidR="00393FC3" w:rsidRDefault="00393F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Turul enamlevinud </w:t>
      </w:r>
      <w:r w:rsidR="00BD4A3D">
        <w:rPr>
          <w:sz w:val="22"/>
          <w:szCs w:val="22"/>
        </w:rPr>
        <w:t>mudelite hinnad oleks alljärgnevad:</w:t>
      </w:r>
    </w:p>
    <w:p w14:paraId="3C788908" w14:textId="6862DC06" w:rsidR="00BD4A3D" w:rsidRDefault="00BE0F99" w:rsidP="00BD4A3D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Yamaha</w:t>
      </w:r>
      <w:proofErr w:type="spellEnd"/>
      <w:r>
        <w:rPr>
          <w:sz w:val="22"/>
          <w:szCs w:val="22"/>
        </w:rPr>
        <w:t xml:space="preserve">, </w:t>
      </w:r>
      <w:r w:rsidR="00494C4A">
        <w:rPr>
          <w:sz w:val="22"/>
          <w:szCs w:val="22"/>
        </w:rPr>
        <w:t xml:space="preserve">2024 </w:t>
      </w:r>
      <w:r>
        <w:rPr>
          <w:sz w:val="22"/>
          <w:szCs w:val="22"/>
        </w:rPr>
        <w:t>Transporter</w:t>
      </w:r>
      <w:r w:rsidR="00494C4A">
        <w:rPr>
          <w:sz w:val="22"/>
          <w:szCs w:val="22"/>
        </w:rPr>
        <w:t xml:space="preserve"> 800 Work, hind 19525.- eurot; </w:t>
      </w:r>
      <w:hyperlink r:id="rId7" w:history="1">
        <w:r w:rsidR="00963B0C" w:rsidRPr="00F21C61">
          <w:rPr>
            <w:rStyle w:val="Hyperlink"/>
            <w:rFonts w:hint="eastAsia"/>
            <w:sz w:val="22"/>
            <w:szCs w:val="22"/>
          </w:rPr>
          <w:t>https://www.yamaha.ee/index.php?id=tooted&amp;product_id=382</w:t>
        </w:r>
      </w:hyperlink>
    </w:p>
    <w:p w14:paraId="084176C0" w14:textId="77777777" w:rsidR="008F03C7" w:rsidRDefault="008F03C7" w:rsidP="008F03C7">
      <w:pPr>
        <w:pStyle w:val="ListParagraph"/>
        <w:jc w:val="both"/>
        <w:rPr>
          <w:sz w:val="22"/>
          <w:szCs w:val="22"/>
        </w:rPr>
      </w:pPr>
    </w:p>
    <w:p w14:paraId="16155F3A" w14:textId="750C2043" w:rsidR="00963B0C" w:rsidRDefault="00963B0C" w:rsidP="00BD4A3D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Polaris, </w:t>
      </w:r>
      <w:r w:rsidR="00DA13D2">
        <w:rPr>
          <w:sz w:val="22"/>
          <w:szCs w:val="22"/>
        </w:rPr>
        <w:t>sobivate mudelite hinnad vahemikus 17000-20</w:t>
      </w:r>
      <w:r w:rsidR="00504496">
        <w:rPr>
          <w:sz w:val="22"/>
          <w:szCs w:val="22"/>
        </w:rPr>
        <w:t xml:space="preserve">000.-, näidis 2023 </w:t>
      </w:r>
      <w:proofErr w:type="spellStart"/>
      <w:r w:rsidR="007619E1">
        <w:rPr>
          <w:sz w:val="22"/>
          <w:szCs w:val="22"/>
        </w:rPr>
        <w:t>Prostar</w:t>
      </w:r>
      <w:proofErr w:type="spellEnd"/>
      <w:r w:rsidR="007619E1">
        <w:rPr>
          <w:sz w:val="22"/>
          <w:szCs w:val="22"/>
        </w:rPr>
        <w:t xml:space="preserve"> S4 1000 </w:t>
      </w:r>
      <w:proofErr w:type="spellStart"/>
      <w:r w:rsidR="007619E1">
        <w:rPr>
          <w:sz w:val="22"/>
          <w:szCs w:val="22"/>
        </w:rPr>
        <w:t>Titan</w:t>
      </w:r>
      <w:proofErr w:type="spellEnd"/>
      <w:r w:rsidR="007619E1">
        <w:rPr>
          <w:sz w:val="22"/>
          <w:szCs w:val="22"/>
        </w:rPr>
        <w:t xml:space="preserve"> </w:t>
      </w:r>
      <w:proofErr w:type="spellStart"/>
      <w:r w:rsidR="007619E1">
        <w:rPr>
          <w:sz w:val="22"/>
          <w:szCs w:val="22"/>
        </w:rPr>
        <w:t>Adventure</w:t>
      </w:r>
      <w:proofErr w:type="spellEnd"/>
      <w:r w:rsidR="007619E1">
        <w:rPr>
          <w:sz w:val="22"/>
          <w:szCs w:val="22"/>
        </w:rPr>
        <w:t xml:space="preserve"> 155, 19999.- eurot</w:t>
      </w:r>
    </w:p>
    <w:p w14:paraId="44B8E612" w14:textId="38DF4798" w:rsidR="00792E58" w:rsidRDefault="00792E58" w:rsidP="00792E58">
      <w:pPr>
        <w:pStyle w:val="ListParagraph"/>
        <w:jc w:val="both"/>
        <w:rPr>
          <w:sz w:val="22"/>
          <w:szCs w:val="22"/>
        </w:rPr>
      </w:pPr>
      <w:hyperlink r:id="rId8" w:history="1">
        <w:r w:rsidRPr="00F21C61">
          <w:rPr>
            <w:rStyle w:val="Hyperlink"/>
            <w:rFonts w:hint="eastAsia"/>
            <w:sz w:val="22"/>
            <w:szCs w:val="22"/>
          </w:rPr>
          <w:t>https://motodepoo.ee/soidukid/10178-2023-prostar-s4-1000-titan-adventure-155</w:t>
        </w:r>
      </w:hyperlink>
    </w:p>
    <w:p w14:paraId="2DD8494E" w14:textId="77777777" w:rsidR="00667008" w:rsidRDefault="00667008" w:rsidP="00792E58">
      <w:pPr>
        <w:pStyle w:val="ListParagraph"/>
        <w:jc w:val="both"/>
        <w:rPr>
          <w:sz w:val="22"/>
          <w:szCs w:val="22"/>
        </w:rPr>
      </w:pPr>
    </w:p>
    <w:p w14:paraId="4D3BEA5D" w14:textId="626CA9E8" w:rsidR="00792E58" w:rsidRDefault="00EB22C3" w:rsidP="00BD4A3D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EB22C3">
        <w:rPr>
          <w:sz w:val="22"/>
          <w:szCs w:val="22"/>
        </w:rPr>
        <w:t xml:space="preserve">LYNX </w:t>
      </w:r>
      <w:proofErr w:type="spellStart"/>
      <w:r w:rsidRPr="00EB22C3">
        <w:rPr>
          <w:sz w:val="22"/>
          <w:szCs w:val="22"/>
        </w:rPr>
        <w:t>A</w:t>
      </w:r>
      <w:r>
        <w:rPr>
          <w:sz w:val="22"/>
          <w:szCs w:val="22"/>
        </w:rPr>
        <w:t>dventure</w:t>
      </w:r>
      <w:proofErr w:type="spellEnd"/>
      <w:r w:rsidRPr="00EB22C3">
        <w:rPr>
          <w:sz w:val="22"/>
          <w:szCs w:val="22"/>
        </w:rPr>
        <w:t xml:space="preserve"> LX 600 ACE 137" 2024</w:t>
      </w:r>
      <w:r w:rsidR="009022B8">
        <w:rPr>
          <w:sz w:val="22"/>
          <w:szCs w:val="22"/>
        </w:rPr>
        <w:t>, hind 14500.-</w:t>
      </w:r>
    </w:p>
    <w:p w14:paraId="26AD8DFE" w14:textId="4CAB9925" w:rsidR="009022B8" w:rsidRDefault="00C214DB" w:rsidP="00C214DB">
      <w:pPr>
        <w:pStyle w:val="ListParagraph"/>
        <w:jc w:val="both"/>
        <w:rPr>
          <w:sz w:val="22"/>
          <w:szCs w:val="22"/>
        </w:rPr>
      </w:pPr>
      <w:r w:rsidRPr="00C214DB">
        <w:rPr>
          <w:sz w:val="22"/>
          <w:szCs w:val="22"/>
        </w:rPr>
        <w:drawing>
          <wp:inline distT="0" distB="0" distL="0" distR="0" wp14:anchorId="6E1EF27C" wp14:editId="281EFBC7">
            <wp:extent cx="3247720" cy="1797685"/>
            <wp:effectExtent l="0" t="0" r="0" b="0"/>
            <wp:docPr id="1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docume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9347" cy="181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A980F" w14:textId="00C5614C" w:rsidR="00C214DB" w:rsidRDefault="00A72BAA" w:rsidP="00C214DB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A72BAA">
        <w:rPr>
          <w:sz w:val="22"/>
          <w:szCs w:val="22"/>
        </w:rPr>
        <w:t xml:space="preserve">SKI-DOO </w:t>
      </w:r>
      <w:proofErr w:type="spellStart"/>
      <w:r>
        <w:rPr>
          <w:sz w:val="22"/>
          <w:szCs w:val="22"/>
        </w:rPr>
        <w:t>Renegate</w:t>
      </w:r>
      <w:proofErr w:type="spellEnd"/>
      <w:r w:rsidRPr="00A72BAA">
        <w:rPr>
          <w:sz w:val="22"/>
          <w:szCs w:val="22"/>
        </w:rPr>
        <w:t xml:space="preserve"> S</w:t>
      </w:r>
      <w:r>
        <w:rPr>
          <w:sz w:val="22"/>
          <w:szCs w:val="22"/>
        </w:rPr>
        <w:t>port</w:t>
      </w:r>
      <w:r w:rsidRPr="00A72BAA">
        <w:rPr>
          <w:sz w:val="22"/>
          <w:szCs w:val="22"/>
        </w:rPr>
        <w:t xml:space="preserve"> 600 ACE 137" 2023</w:t>
      </w:r>
      <w:r>
        <w:rPr>
          <w:sz w:val="22"/>
          <w:szCs w:val="22"/>
        </w:rPr>
        <w:t xml:space="preserve">, hind </w:t>
      </w:r>
      <w:r w:rsidR="00BB6DCA">
        <w:rPr>
          <w:sz w:val="22"/>
          <w:szCs w:val="22"/>
        </w:rPr>
        <w:t>13987,01</w:t>
      </w:r>
    </w:p>
    <w:p w14:paraId="699E4817" w14:textId="77777777" w:rsidR="00D13AF5" w:rsidRDefault="00D13AF5" w:rsidP="00D13AF5">
      <w:pPr>
        <w:pStyle w:val="ListParagraph"/>
        <w:jc w:val="both"/>
        <w:rPr>
          <w:sz w:val="22"/>
          <w:szCs w:val="22"/>
        </w:rPr>
      </w:pPr>
    </w:p>
    <w:p w14:paraId="610056EC" w14:textId="77777777" w:rsidR="00D13AF5" w:rsidRDefault="00D13AF5" w:rsidP="00D13AF5">
      <w:pPr>
        <w:pStyle w:val="ListParagraph"/>
        <w:jc w:val="both"/>
        <w:rPr>
          <w:sz w:val="22"/>
          <w:szCs w:val="22"/>
        </w:rPr>
      </w:pPr>
    </w:p>
    <w:p w14:paraId="38D6FFF3" w14:textId="77777777" w:rsidR="00D13AF5" w:rsidRDefault="00D13AF5" w:rsidP="00D13AF5">
      <w:pPr>
        <w:pStyle w:val="ListParagraph"/>
        <w:jc w:val="both"/>
        <w:rPr>
          <w:sz w:val="22"/>
          <w:szCs w:val="22"/>
        </w:rPr>
      </w:pPr>
    </w:p>
    <w:p w14:paraId="69C9A86E" w14:textId="77777777" w:rsidR="00D13AF5" w:rsidRDefault="00D13AF5" w:rsidP="00D13AF5">
      <w:pPr>
        <w:pStyle w:val="ListParagraph"/>
        <w:jc w:val="both"/>
        <w:rPr>
          <w:sz w:val="22"/>
          <w:szCs w:val="22"/>
        </w:rPr>
      </w:pPr>
    </w:p>
    <w:p w14:paraId="35D9C3CF" w14:textId="2B25F235" w:rsidR="00BB6DCA" w:rsidRPr="00A72BAA" w:rsidRDefault="00BB6DCA" w:rsidP="00D13AF5">
      <w:pPr>
        <w:pStyle w:val="ListParagraph"/>
        <w:jc w:val="both"/>
        <w:rPr>
          <w:sz w:val="22"/>
          <w:szCs w:val="22"/>
        </w:rPr>
      </w:pPr>
      <w:r w:rsidRPr="00BB6DCA">
        <w:rPr>
          <w:sz w:val="22"/>
          <w:szCs w:val="22"/>
        </w:rPr>
        <w:drawing>
          <wp:inline distT="0" distB="0" distL="0" distR="0" wp14:anchorId="2C04EEA6" wp14:editId="1F0E2E4B">
            <wp:extent cx="3154998" cy="1960961"/>
            <wp:effectExtent l="0" t="0" r="7620" b="1270"/>
            <wp:docPr id="2" name="Picture 2" descr="A close-up of a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receip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4778" cy="196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BD784" w14:textId="77777777" w:rsidR="00692D14" w:rsidRDefault="00692D14">
      <w:pPr>
        <w:jc w:val="both"/>
        <w:rPr>
          <w:sz w:val="22"/>
          <w:szCs w:val="22"/>
        </w:rPr>
      </w:pPr>
    </w:p>
    <w:p w14:paraId="142099DA" w14:textId="23E89C01" w:rsidR="009130D4" w:rsidRDefault="00D13AF5" w:rsidP="001C5869">
      <w:pPr>
        <w:jc w:val="both"/>
        <w:rPr>
          <w:sz w:val="22"/>
          <w:szCs w:val="22"/>
        </w:rPr>
      </w:pPr>
      <w:r>
        <w:rPr>
          <w:sz w:val="22"/>
          <w:szCs w:val="22"/>
        </w:rPr>
        <w:t>Hinna poolest sobivaim on</w:t>
      </w:r>
      <w:r w:rsidR="00E97B07">
        <w:rPr>
          <w:sz w:val="22"/>
          <w:szCs w:val="22"/>
        </w:rPr>
        <w:t xml:space="preserve"> SKI-DOO pakutav, mille hind koos käibemaksuga on 13 987,01 eurot</w:t>
      </w:r>
      <w:r w:rsidR="003B1989">
        <w:rPr>
          <w:sz w:val="22"/>
          <w:szCs w:val="22"/>
        </w:rPr>
        <w:t>, ilma käibemaksuta 11655,84 eurot.</w:t>
      </w:r>
      <w:r w:rsidR="005758A5" w:rsidRPr="006D41E9">
        <w:rPr>
          <w:sz w:val="22"/>
          <w:szCs w:val="22"/>
        </w:rPr>
        <w:t xml:space="preserve"> </w:t>
      </w:r>
      <w:r w:rsidR="00692D14">
        <w:rPr>
          <w:sz w:val="22"/>
          <w:szCs w:val="22"/>
        </w:rPr>
        <w:t xml:space="preserve">Sellest hinnast me taotluse küsimisel ka lähtume. Kuna </w:t>
      </w:r>
      <w:r w:rsidR="005758A5" w:rsidRPr="006D41E9">
        <w:rPr>
          <w:sz w:val="22"/>
          <w:szCs w:val="22"/>
        </w:rPr>
        <w:t>MTÜ Toila Merepääste on käibemaksukohuslane (KMKR nr EE102054721)</w:t>
      </w:r>
      <w:r w:rsidR="00F87792">
        <w:rPr>
          <w:sz w:val="22"/>
          <w:szCs w:val="22"/>
        </w:rPr>
        <w:t>, vaatame</w:t>
      </w:r>
      <w:r w:rsidR="00BF5746">
        <w:rPr>
          <w:sz w:val="22"/>
          <w:szCs w:val="22"/>
        </w:rPr>
        <w:t xml:space="preserve"> maksumust ilma käibemaksuta</w:t>
      </w:r>
      <w:r w:rsidR="005758A5" w:rsidRPr="006D41E9">
        <w:rPr>
          <w:sz w:val="22"/>
          <w:szCs w:val="22"/>
        </w:rPr>
        <w:t>.</w:t>
      </w:r>
      <w:r w:rsidR="00BF5746">
        <w:rPr>
          <w:sz w:val="22"/>
          <w:szCs w:val="22"/>
        </w:rPr>
        <w:t xml:space="preserve"> </w:t>
      </w:r>
    </w:p>
    <w:p w14:paraId="2D3D3CD5" w14:textId="4DCA823B" w:rsidR="001C5869" w:rsidRPr="007D0864" w:rsidRDefault="001C5869" w:rsidP="001C5869">
      <w:pPr>
        <w:jc w:val="both"/>
        <w:rPr>
          <w:rFonts w:hint="eastAsia"/>
          <w:b/>
          <w:bCs/>
          <w:sz w:val="22"/>
          <w:szCs w:val="22"/>
        </w:rPr>
      </w:pPr>
      <w:r w:rsidRPr="007D0864">
        <w:rPr>
          <w:b/>
          <w:bCs/>
          <w:sz w:val="22"/>
          <w:szCs w:val="22"/>
        </w:rPr>
        <w:t xml:space="preserve">Palume PPA toetust 80% mootorkelgu soetusmaksumusest, summas </w:t>
      </w:r>
      <w:r w:rsidR="0089398C" w:rsidRPr="007D0864">
        <w:rPr>
          <w:b/>
          <w:bCs/>
          <w:sz w:val="22"/>
          <w:szCs w:val="22"/>
        </w:rPr>
        <w:t>9324 eurot.</w:t>
      </w:r>
    </w:p>
    <w:p w14:paraId="663541D0" w14:textId="77777777" w:rsidR="00B07100" w:rsidRDefault="00B07100">
      <w:pPr>
        <w:jc w:val="both"/>
        <w:rPr>
          <w:rFonts w:hint="eastAsia"/>
          <w:sz w:val="22"/>
          <w:szCs w:val="22"/>
        </w:rPr>
      </w:pPr>
    </w:p>
    <w:p w14:paraId="5A917E14" w14:textId="74EA1991" w:rsidR="00F73AA6" w:rsidRPr="006D41E9" w:rsidRDefault="00F73AA6">
      <w:pPr>
        <w:jc w:val="both"/>
        <w:rPr>
          <w:rFonts w:hint="eastAsia"/>
          <w:b/>
          <w:bCs/>
          <w:sz w:val="22"/>
          <w:szCs w:val="22"/>
          <w:u w:val="single"/>
        </w:rPr>
      </w:pPr>
      <w:r w:rsidRPr="006D41E9">
        <w:rPr>
          <w:b/>
          <w:bCs/>
          <w:sz w:val="22"/>
          <w:szCs w:val="22"/>
          <w:u w:val="single"/>
        </w:rPr>
        <w:t xml:space="preserve">Tegevuste ajakava </w:t>
      </w:r>
    </w:p>
    <w:p w14:paraId="53E3B9B3" w14:textId="77777777" w:rsidR="00444E72" w:rsidRDefault="00444E72">
      <w:pPr>
        <w:jc w:val="both"/>
        <w:rPr>
          <w:rFonts w:hint="eastAsia"/>
          <w:sz w:val="22"/>
          <w:szCs w:val="22"/>
          <w:u w:val="single"/>
        </w:rPr>
      </w:pPr>
    </w:p>
    <w:p w14:paraId="1398A628" w14:textId="3BD48C61" w:rsidR="00F73AA6" w:rsidRPr="00FB00C3" w:rsidRDefault="00864D23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Mootorkelk on </w:t>
      </w:r>
      <w:r w:rsidR="006431EA">
        <w:rPr>
          <w:sz w:val="22"/>
          <w:szCs w:val="22"/>
        </w:rPr>
        <w:t>soetatud</w:t>
      </w:r>
      <w:r>
        <w:rPr>
          <w:sz w:val="22"/>
          <w:szCs w:val="22"/>
        </w:rPr>
        <w:t xml:space="preserve"> hiljemalt 01.12.2013.a</w:t>
      </w:r>
    </w:p>
    <w:p w14:paraId="6ED79C44" w14:textId="77777777" w:rsidR="003406BC" w:rsidRPr="006D41E9" w:rsidRDefault="003406BC">
      <w:pPr>
        <w:jc w:val="both"/>
        <w:rPr>
          <w:rFonts w:hint="eastAsia"/>
          <w:sz w:val="22"/>
          <w:szCs w:val="22"/>
        </w:rPr>
      </w:pPr>
    </w:p>
    <w:p w14:paraId="7BE9D0C5" w14:textId="77777777" w:rsidR="003406BC" w:rsidRPr="006D41E9" w:rsidRDefault="003406BC">
      <w:pPr>
        <w:jc w:val="both"/>
        <w:rPr>
          <w:rFonts w:hint="eastAsia"/>
          <w:b/>
          <w:bCs/>
          <w:sz w:val="22"/>
          <w:szCs w:val="22"/>
          <w:u w:val="single"/>
        </w:rPr>
      </w:pPr>
      <w:r w:rsidRPr="006D41E9">
        <w:rPr>
          <w:b/>
          <w:bCs/>
          <w:sz w:val="22"/>
          <w:szCs w:val="22"/>
          <w:u w:val="single"/>
        </w:rPr>
        <w:t xml:space="preserve">Hinnapakkumiste või kuludokumentide lisamine </w:t>
      </w:r>
    </w:p>
    <w:p w14:paraId="5F237EE8" w14:textId="77777777" w:rsidR="003406BC" w:rsidRPr="006D41E9" w:rsidRDefault="003406BC">
      <w:pPr>
        <w:jc w:val="both"/>
        <w:rPr>
          <w:rFonts w:hint="eastAsia"/>
          <w:sz w:val="22"/>
          <w:szCs w:val="22"/>
        </w:rPr>
      </w:pPr>
    </w:p>
    <w:p w14:paraId="73A4247F" w14:textId="690F4F96" w:rsidR="007B25B0" w:rsidRPr="006D41E9" w:rsidRDefault="003406BC">
      <w:pPr>
        <w:jc w:val="both"/>
        <w:rPr>
          <w:rFonts w:hint="eastAsia"/>
          <w:sz w:val="22"/>
          <w:szCs w:val="22"/>
        </w:rPr>
      </w:pPr>
      <w:r w:rsidRPr="006D41E9">
        <w:rPr>
          <w:sz w:val="22"/>
          <w:szCs w:val="22"/>
        </w:rPr>
        <w:t xml:space="preserve">Taotlusele on lisatud </w:t>
      </w:r>
      <w:r w:rsidR="00F2389B">
        <w:rPr>
          <w:sz w:val="22"/>
          <w:szCs w:val="22"/>
        </w:rPr>
        <w:t>ka kahe soo</w:t>
      </w:r>
      <w:r w:rsidR="007D0864">
        <w:rPr>
          <w:sz w:val="22"/>
          <w:szCs w:val="22"/>
        </w:rPr>
        <w:t>dsama mootorkelgu hinnapakkumised. Kahe kallima hinnad on nä</w:t>
      </w:r>
      <w:r w:rsidR="00B026C0">
        <w:rPr>
          <w:sz w:val="22"/>
          <w:szCs w:val="22"/>
        </w:rPr>
        <w:t>h</w:t>
      </w:r>
      <w:r w:rsidR="007D0864">
        <w:rPr>
          <w:sz w:val="22"/>
          <w:szCs w:val="22"/>
        </w:rPr>
        <w:t>a taotlu</w:t>
      </w:r>
      <w:r w:rsidR="00B026C0">
        <w:rPr>
          <w:sz w:val="22"/>
          <w:szCs w:val="22"/>
        </w:rPr>
        <w:t>ses viidatud linkide alt.</w:t>
      </w:r>
      <w:r w:rsidR="00122022">
        <w:rPr>
          <w:sz w:val="22"/>
          <w:szCs w:val="22"/>
        </w:rPr>
        <w:t xml:space="preserve"> </w:t>
      </w:r>
    </w:p>
    <w:p w14:paraId="0EE3E238" w14:textId="576A2468" w:rsidR="00AB7A41" w:rsidRPr="006D41E9" w:rsidRDefault="00AB7A41">
      <w:pPr>
        <w:jc w:val="both"/>
        <w:rPr>
          <w:rFonts w:hint="eastAsia"/>
          <w:sz w:val="22"/>
          <w:szCs w:val="22"/>
        </w:rPr>
      </w:pPr>
    </w:p>
    <w:p w14:paraId="4423EDF2" w14:textId="77777777" w:rsidR="00A7784F" w:rsidRPr="006D41E9" w:rsidRDefault="00A7784F">
      <w:pPr>
        <w:jc w:val="both"/>
        <w:rPr>
          <w:rFonts w:hint="eastAsia"/>
          <w:color w:val="11123F"/>
          <w:sz w:val="22"/>
          <w:szCs w:val="22"/>
        </w:rPr>
      </w:pPr>
    </w:p>
    <w:p w14:paraId="316C48F6" w14:textId="77777777" w:rsidR="00A7784F" w:rsidRPr="006D41E9" w:rsidRDefault="005145D7">
      <w:pPr>
        <w:jc w:val="both"/>
        <w:rPr>
          <w:rFonts w:hint="eastAsia"/>
          <w:sz w:val="22"/>
          <w:szCs w:val="22"/>
        </w:rPr>
      </w:pPr>
      <w:r w:rsidRPr="006D41E9">
        <w:rPr>
          <w:color w:val="11123F"/>
          <w:sz w:val="22"/>
          <w:szCs w:val="22"/>
        </w:rPr>
        <w:t>Lugupidamisega</w:t>
      </w:r>
    </w:p>
    <w:p w14:paraId="2237DC5C" w14:textId="77777777" w:rsidR="00A7784F" w:rsidRPr="006D41E9" w:rsidRDefault="00A7784F">
      <w:pPr>
        <w:jc w:val="both"/>
        <w:rPr>
          <w:rFonts w:hint="eastAsia"/>
          <w:color w:val="11123F"/>
          <w:sz w:val="22"/>
          <w:szCs w:val="22"/>
        </w:rPr>
      </w:pPr>
    </w:p>
    <w:p w14:paraId="540D8AD7" w14:textId="77777777" w:rsidR="00A7784F" w:rsidRPr="006D41E9" w:rsidRDefault="005145D7">
      <w:pPr>
        <w:jc w:val="both"/>
        <w:rPr>
          <w:rFonts w:hint="eastAsia"/>
          <w:i/>
          <w:iCs/>
          <w:sz w:val="22"/>
          <w:szCs w:val="22"/>
        </w:rPr>
      </w:pPr>
      <w:r w:rsidRPr="006D41E9">
        <w:rPr>
          <w:i/>
          <w:iCs/>
          <w:color w:val="11123F"/>
          <w:sz w:val="22"/>
          <w:szCs w:val="22"/>
        </w:rPr>
        <w:t>/ allkirjastatud digitaalselt /</w:t>
      </w:r>
    </w:p>
    <w:p w14:paraId="269436A5" w14:textId="77777777" w:rsidR="00A7784F" w:rsidRPr="006D41E9" w:rsidRDefault="00A7784F">
      <w:pPr>
        <w:jc w:val="both"/>
        <w:rPr>
          <w:rFonts w:hint="eastAsia"/>
          <w:color w:val="11123F"/>
          <w:sz w:val="22"/>
          <w:szCs w:val="22"/>
        </w:rPr>
      </w:pPr>
    </w:p>
    <w:p w14:paraId="1F0117EF" w14:textId="77777777" w:rsidR="00A7784F" w:rsidRPr="006D41E9" w:rsidRDefault="005145D7">
      <w:pPr>
        <w:jc w:val="both"/>
        <w:rPr>
          <w:rFonts w:hint="eastAsia"/>
          <w:sz w:val="22"/>
          <w:szCs w:val="22"/>
        </w:rPr>
      </w:pPr>
      <w:r w:rsidRPr="006D41E9">
        <w:rPr>
          <w:color w:val="11123F"/>
          <w:sz w:val="22"/>
          <w:szCs w:val="22"/>
        </w:rPr>
        <w:t>Meelis Goldberg</w:t>
      </w:r>
    </w:p>
    <w:p w14:paraId="07FFE3F3" w14:textId="77777777" w:rsidR="00A7784F" w:rsidRPr="006D41E9" w:rsidRDefault="005145D7">
      <w:pPr>
        <w:jc w:val="both"/>
        <w:rPr>
          <w:rFonts w:hint="eastAsia"/>
          <w:sz w:val="22"/>
          <w:szCs w:val="22"/>
        </w:rPr>
      </w:pPr>
      <w:r w:rsidRPr="006D41E9">
        <w:rPr>
          <w:color w:val="11123F"/>
          <w:sz w:val="22"/>
          <w:szCs w:val="22"/>
        </w:rPr>
        <w:t>juhatuse liige</w:t>
      </w:r>
    </w:p>
    <w:p w14:paraId="7ED8969F" w14:textId="5C812B49" w:rsidR="00A7784F" w:rsidRPr="006D41E9" w:rsidRDefault="005145D7">
      <w:pPr>
        <w:jc w:val="both"/>
        <w:rPr>
          <w:rFonts w:hint="eastAsia"/>
          <w:color w:val="11123F"/>
          <w:sz w:val="22"/>
          <w:szCs w:val="22"/>
        </w:rPr>
      </w:pPr>
      <w:r w:rsidRPr="006D41E9">
        <w:rPr>
          <w:color w:val="11123F"/>
          <w:sz w:val="22"/>
          <w:szCs w:val="22"/>
        </w:rPr>
        <w:t>MTÜ Toila Merepääste</w:t>
      </w:r>
    </w:p>
    <w:p w14:paraId="00326F90" w14:textId="552C74A6" w:rsidR="00077F75" w:rsidRPr="006D41E9" w:rsidRDefault="007A720D">
      <w:pPr>
        <w:jc w:val="both"/>
        <w:rPr>
          <w:rFonts w:hint="eastAsia"/>
          <w:color w:val="11123F"/>
          <w:sz w:val="22"/>
          <w:szCs w:val="22"/>
        </w:rPr>
      </w:pPr>
      <w:r w:rsidRPr="006D41E9">
        <w:rPr>
          <w:color w:val="11123F"/>
          <w:sz w:val="22"/>
          <w:szCs w:val="22"/>
        </w:rPr>
        <w:t>+372 5087034</w:t>
      </w:r>
    </w:p>
    <w:p w14:paraId="5EBF1687" w14:textId="296F6E62" w:rsidR="007A720D" w:rsidRPr="006D41E9" w:rsidRDefault="007A720D">
      <w:pPr>
        <w:jc w:val="both"/>
        <w:rPr>
          <w:rFonts w:hint="eastAsia"/>
          <w:sz w:val="22"/>
          <w:szCs w:val="22"/>
        </w:rPr>
      </w:pPr>
      <w:r w:rsidRPr="006D41E9">
        <w:rPr>
          <w:color w:val="11123F"/>
          <w:sz w:val="22"/>
          <w:szCs w:val="22"/>
        </w:rPr>
        <w:t>toila@sar.ee</w:t>
      </w:r>
    </w:p>
    <w:p w14:paraId="56175E8D" w14:textId="77777777" w:rsidR="00A7784F" w:rsidRPr="006D41E9" w:rsidRDefault="00A7784F">
      <w:pPr>
        <w:jc w:val="both"/>
        <w:rPr>
          <w:rFonts w:hint="eastAsia"/>
          <w:color w:val="11123F"/>
          <w:sz w:val="22"/>
          <w:szCs w:val="22"/>
        </w:rPr>
      </w:pPr>
    </w:p>
    <w:p w14:paraId="7E28A04E" w14:textId="77777777" w:rsidR="00A7784F" w:rsidRPr="006D41E9" w:rsidRDefault="00A7784F">
      <w:pPr>
        <w:jc w:val="both"/>
        <w:rPr>
          <w:rFonts w:hint="eastAsia"/>
          <w:color w:val="11123F"/>
          <w:sz w:val="22"/>
          <w:szCs w:val="22"/>
        </w:rPr>
      </w:pPr>
    </w:p>
    <w:p w14:paraId="779AD960" w14:textId="77777777" w:rsidR="00A7784F" w:rsidRPr="006D41E9" w:rsidRDefault="00A7784F">
      <w:pPr>
        <w:jc w:val="both"/>
        <w:rPr>
          <w:rFonts w:hint="eastAsia"/>
          <w:color w:val="11123F"/>
          <w:sz w:val="22"/>
          <w:szCs w:val="22"/>
        </w:rPr>
      </w:pPr>
    </w:p>
    <w:p w14:paraId="0A92409F" w14:textId="2A101849" w:rsidR="00A7784F" w:rsidRPr="006D41E9" w:rsidRDefault="00A7784F">
      <w:pPr>
        <w:jc w:val="both"/>
        <w:rPr>
          <w:rFonts w:hint="eastAsia"/>
          <w:color w:val="11123F"/>
          <w:sz w:val="22"/>
          <w:szCs w:val="22"/>
        </w:rPr>
      </w:pPr>
    </w:p>
    <w:sectPr w:rsidR="00A7784F" w:rsidRPr="006D41E9">
      <w:headerReference w:type="default" r:id="rId11"/>
      <w:footerReference w:type="default" r:id="rId12"/>
      <w:pgSz w:w="11906" w:h="16838"/>
      <w:pgMar w:top="1134" w:right="1134" w:bottom="1134" w:left="1701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1266" w14:textId="77777777" w:rsidR="00DB2AEA" w:rsidRDefault="00DB2AEA">
      <w:pPr>
        <w:rPr>
          <w:rFonts w:hint="eastAsia"/>
        </w:rPr>
      </w:pPr>
      <w:r>
        <w:separator/>
      </w:r>
    </w:p>
  </w:endnote>
  <w:endnote w:type="continuationSeparator" w:id="0">
    <w:p w14:paraId="7D5D05B8" w14:textId="77777777" w:rsidR="00DB2AEA" w:rsidRDefault="00DB2A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6A59" w14:textId="77777777" w:rsidR="00A7784F" w:rsidRDefault="00A7784F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29DA" w14:textId="77777777" w:rsidR="00DB2AEA" w:rsidRDefault="00DB2AEA">
      <w:pPr>
        <w:rPr>
          <w:rFonts w:hint="eastAsia"/>
        </w:rPr>
      </w:pPr>
      <w:r>
        <w:separator/>
      </w:r>
    </w:p>
  </w:footnote>
  <w:footnote w:type="continuationSeparator" w:id="0">
    <w:p w14:paraId="5FEA1687" w14:textId="77777777" w:rsidR="00DB2AEA" w:rsidRDefault="00DB2AE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8CC3" w14:textId="77777777" w:rsidR="00A7784F" w:rsidRDefault="00A7784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45BA"/>
    <w:multiLevelType w:val="hybridMultilevel"/>
    <w:tmpl w:val="0E92430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550A5"/>
    <w:multiLevelType w:val="hybridMultilevel"/>
    <w:tmpl w:val="3C8C2F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10FC"/>
    <w:multiLevelType w:val="multilevel"/>
    <w:tmpl w:val="A71C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CD6428D"/>
    <w:multiLevelType w:val="hybridMultilevel"/>
    <w:tmpl w:val="65587E5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01B6B"/>
    <w:multiLevelType w:val="multilevel"/>
    <w:tmpl w:val="2E889F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49447D0"/>
    <w:multiLevelType w:val="hybridMultilevel"/>
    <w:tmpl w:val="5A2A59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46550">
    <w:abstractNumId w:val="2"/>
  </w:num>
  <w:num w:numId="2" w16cid:durableId="446048488">
    <w:abstractNumId w:val="4"/>
  </w:num>
  <w:num w:numId="3" w16cid:durableId="186716958">
    <w:abstractNumId w:val="1"/>
  </w:num>
  <w:num w:numId="4" w16cid:durableId="747920250">
    <w:abstractNumId w:val="3"/>
  </w:num>
  <w:num w:numId="5" w16cid:durableId="257754321">
    <w:abstractNumId w:val="0"/>
  </w:num>
  <w:num w:numId="6" w16cid:durableId="1623919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84F"/>
    <w:rsid w:val="00007698"/>
    <w:rsid w:val="00013E89"/>
    <w:rsid w:val="00032633"/>
    <w:rsid w:val="00034F3E"/>
    <w:rsid w:val="00046D50"/>
    <w:rsid w:val="00077F75"/>
    <w:rsid w:val="00087CE3"/>
    <w:rsid w:val="000A488E"/>
    <w:rsid w:val="000B1BCA"/>
    <w:rsid w:val="000D0698"/>
    <w:rsid w:val="000D4628"/>
    <w:rsid w:val="000E61CD"/>
    <w:rsid w:val="00122022"/>
    <w:rsid w:val="0012401D"/>
    <w:rsid w:val="00127ECD"/>
    <w:rsid w:val="00157354"/>
    <w:rsid w:val="00164859"/>
    <w:rsid w:val="00165A9C"/>
    <w:rsid w:val="00171E66"/>
    <w:rsid w:val="001A7F0D"/>
    <w:rsid w:val="001C405B"/>
    <w:rsid w:val="001C5869"/>
    <w:rsid w:val="001D500B"/>
    <w:rsid w:val="001E4AB5"/>
    <w:rsid w:val="001F2A66"/>
    <w:rsid w:val="002028E4"/>
    <w:rsid w:val="00235275"/>
    <w:rsid w:val="00240938"/>
    <w:rsid w:val="002B0ED3"/>
    <w:rsid w:val="002B192F"/>
    <w:rsid w:val="002C3D73"/>
    <w:rsid w:val="0031238A"/>
    <w:rsid w:val="003406BC"/>
    <w:rsid w:val="0035383D"/>
    <w:rsid w:val="00371E7C"/>
    <w:rsid w:val="00385590"/>
    <w:rsid w:val="003903F4"/>
    <w:rsid w:val="0039066C"/>
    <w:rsid w:val="00393FC3"/>
    <w:rsid w:val="00397CF9"/>
    <w:rsid w:val="003A7577"/>
    <w:rsid w:val="003B1989"/>
    <w:rsid w:val="003D2F5D"/>
    <w:rsid w:val="003D3389"/>
    <w:rsid w:val="003E7A0A"/>
    <w:rsid w:val="003F2693"/>
    <w:rsid w:val="004147C2"/>
    <w:rsid w:val="004214BD"/>
    <w:rsid w:val="00433F91"/>
    <w:rsid w:val="00444E72"/>
    <w:rsid w:val="00451107"/>
    <w:rsid w:val="00462A34"/>
    <w:rsid w:val="004745A4"/>
    <w:rsid w:val="00487068"/>
    <w:rsid w:val="00494C4A"/>
    <w:rsid w:val="00497D62"/>
    <w:rsid w:val="004C3F92"/>
    <w:rsid w:val="004D7327"/>
    <w:rsid w:val="004E32A4"/>
    <w:rsid w:val="004E6B4B"/>
    <w:rsid w:val="004F58D9"/>
    <w:rsid w:val="00501156"/>
    <w:rsid w:val="00504496"/>
    <w:rsid w:val="0051246A"/>
    <w:rsid w:val="005145D7"/>
    <w:rsid w:val="005166E2"/>
    <w:rsid w:val="00517B9B"/>
    <w:rsid w:val="00536577"/>
    <w:rsid w:val="005758A5"/>
    <w:rsid w:val="005821DB"/>
    <w:rsid w:val="00587D58"/>
    <w:rsid w:val="005A6655"/>
    <w:rsid w:val="005F5C77"/>
    <w:rsid w:val="00601A0C"/>
    <w:rsid w:val="00611717"/>
    <w:rsid w:val="0061225D"/>
    <w:rsid w:val="00615646"/>
    <w:rsid w:val="00617A22"/>
    <w:rsid w:val="00632B5E"/>
    <w:rsid w:val="006431EA"/>
    <w:rsid w:val="006476DD"/>
    <w:rsid w:val="00664C5F"/>
    <w:rsid w:val="00665B3A"/>
    <w:rsid w:val="00667008"/>
    <w:rsid w:val="00676CDB"/>
    <w:rsid w:val="00690E33"/>
    <w:rsid w:val="00692D14"/>
    <w:rsid w:val="006937BF"/>
    <w:rsid w:val="006957B9"/>
    <w:rsid w:val="006A3919"/>
    <w:rsid w:val="006D2276"/>
    <w:rsid w:val="006D41E9"/>
    <w:rsid w:val="007619E1"/>
    <w:rsid w:val="0077008C"/>
    <w:rsid w:val="0077625D"/>
    <w:rsid w:val="007767DC"/>
    <w:rsid w:val="00792E58"/>
    <w:rsid w:val="00794816"/>
    <w:rsid w:val="007A5FEA"/>
    <w:rsid w:val="007A720D"/>
    <w:rsid w:val="007B25B0"/>
    <w:rsid w:val="007D0864"/>
    <w:rsid w:val="00817EB1"/>
    <w:rsid w:val="00864D23"/>
    <w:rsid w:val="00866618"/>
    <w:rsid w:val="0089398C"/>
    <w:rsid w:val="00894FC7"/>
    <w:rsid w:val="008A2CBB"/>
    <w:rsid w:val="008A5D16"/>
    <w:rsid w:val="008C07C5"/>
    <w:rsid w:val="008C51E8"/>
    <w:rsid w:val="008F03C7"/>
    <w:rsid w:val="009022B8"/>
    <w:rsid w:val="00911FA2"/>
    <w:rsid w:val="009130A7"/>
    <w:rsid w:val="009130D4"/>
    <w:rsid w:val="00940990"/>
    <w:rsid w:val="00946805"/>
    <w:rsid w:val="00951011"/>
    <w:rsid w:val="00960AB2"/>
    <w:rsid w:val="00963B0C"/>
    <w:rsid w:val="00964950"/>
    <w:rsid w:val="00967A90"/>
    <w:rsid w:val="00990605"/>
    <w:rsid w:val="00992772"/>
    <w:rsid w:val="009A07B6"/>
    <w:rsid w:val="009B76F2"/>
    <w:rsid w:val="009F23ED"/>
    <w:rsid w:val="00A10324"/>
    <w:rsid w:val="00A15E9B"/>
    <w:rsid w:val="00A16458"/>
    <w:rsid w:val="00A25B62"/>
    <w:rsid w:val="00A5758E"/>
    <w:rsid w:val="00A72BAA"/>
    <w:rsid w:val="00A7784F"/>
    <w:rsid w:val="00A81AE3"/>
    <w:rsid w:val="00AB1CA4"/>
    <w:rsid w:val="00AB7A41"/>
    <w:rsid w:val="00AD7B29"/>
    <w:rsid w:val="00AE389C"/>
    <w:rsid w:val="00AE456B"/>
    <w:rsid w:val="00AF02DC"/>
    <w:rsid w:val="00B0217F"/>
    <w:rsid w:val="00B026C0"/>
    <w:rsid w:val="00B04BE3"/>
    <w:rsid w:val="00B05B8A"/>
    <w:rsid w:val="00B07100"/>
    <w:rsid w:val="00B17472"/>
    <w:rsid w:val="00B20EA0"/>
    <w:rsid w:val="00B20F5B"/>
    <w:rsid w:val="00B30019"/>
    <w:rsid w:val="00B3724E"/>
    <w:rsid w:val="00B61703"/>
    <w:rsid w:val="00B65A8C"/>
    <w:rsid w:val="00B87B99"/>
    <w:rsid w:val="00BB4A85"/>
    <w:rsid w:val="00BB6DCA"/>
    <w:rsid w:val="00BC0002"/>
    <w:rsid w:val="00BD4A3D"/>
    <w:rsid w:val="00BE0F99"/>
    <w:rsid w:val="00BE211F"/>
    <w:rsid w:val="00BF5746"/>
    <w:rsid w:val="00C214DB"/>
    <w:rsid w:val="00C3581B"/>
    <w:rsid w:val="00C369F3"/>
    <w:rsid w:val="00C37AE4"/>
    <w:rsid w:val="00C51FD4"/>
    <w:rsid w:val="00C52B54"/>
    <w:rsid w:val="00C531DD"/>
    <w:rsid w:val="00C53FCC"/>
    <w:rsid w:val="00C62176"/>
    <w:rsid w:val="00C70AC6"/>
    <w:rsid w:val="00C71C4D"/>
    <w:rsid w:val="00C90947"/>
    <w:rsid w:val="00CE63B0"/>
    <w:rsid w:val="00CF20C6"/>
    <w:rsid w:val="00CF7373"/>
    <w:rsid w:val="00CF7661"/>
    <w:rsid w:val="00D13AF5"/>
    <w:rsid w:val="00D22345"/>
    <w:rsid w:val="00D241A9"/>
    <w:rsid w:val="00D3694A"/>
    <w:rsid w:val="00D53200"/>
    <w:rsid w:val="00D74C56"/>
    <w:rsid w:val="00D76695"/>
    <w:rsid w:val="00D92C02"/>
    <w:rsid w:val="00DA13D2"/>
    <w:rsid w:val="00DB0D3C"/>
    <w:rsid w:val="00DB2AEA"/>
    <w:rsid w:val="00DB76AC"/>
    <w:rsid w:val="00DE4836"/>
    <w:rsid w:val="00E0305B"/>
    <w:rsid w:val="00E145B4"/>
    <w:rsid w:val="00E316CA"/>
    <w:rsid w:val="00E60C51"/>
    <w:rsid w:val="00E728C6"/>
    <w:rsid w:val="00E73160"/>
    <w:rsid w:val="00E77B75"/>
    <w:rsid w:val="00E80122"/>
    <w:rsid w:val="00E97B07"/>
    <w:rsid w:val="00EA0ADD"/>
    <w:rsid w:val="00EB22C3"/>
    <w:rsid w:val="00EB6718"/>
    <w:rsid w:val="00F17612"/>
    <w:rsid w:val="00F2389B"/>
    <w:rsid w:val="00F246A0"/>
    <w:rsid w:val="00F27393"/>
    <w:rsid w:val="00F27D0E"/>
    <w:rsid w:val="00F35B0A"/>
    <w:rsid w:val="00F46A63"/>
    <w:rsid w:val="00F4762E"/>
    <w:rsid w:val="00F50A31"/>
    <w:rsid w:val="00F61D73"/>
    <w:rsid w:val="00F73AA6"/>
    <w:rsid w:val="00F87792"/>
    <w:rsid w:val="00FA7F61"/>
    <w:rsid w:val="00FB00C3"/>
    <w:rsid w:val="00FB0EB1"/>
    <w:rsid w:val="00FC5302"/>
    <w:rsid w:val="00FC71F9"/>
    <w:rsid w:val="00FE2536"/>
    <w:rsid w:val="00FE3B89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4B38"/>
  <w15:docId w15:val="{A315B46D-A059-4271-95E6-B76E936A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7C306A"/>
    <w:rPr>
      <w:rFonts w:cs="Mangal"/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color w:val="11123F"/>
      <w:sz w:val="22"/>
      <w:szCs w:val="24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unhideWhenUsed/>
    <w:rsid w:val="007C306A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92772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963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todepoo.ee/soidukid/10178-2023-prostar-s4-1000-titan-adventure-1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amaha.ee/index.php?id=tooted&amp;product_id=38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457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 Vernik</dc:creator>
  <dc:description/>
  <cp:lastModifiedBy>Meelis Goldberg</cp:lastModifiedBy>
  <cp:revision>89</cp:revision>
  <dcterms:created xsi:type="dcterms:W3CDTF">2023-09-13T17:05:00Z</dcterms:created>
  <dcterms:modified xsi:type="dcterms:W3CDTF">2023-09-13T20:33:00Z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